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7C" w:rsidRDefault="00842260" w:rsidP="00382E7C">
      <w:pPr>
        <w:spacing w:line="360" w:lineRule="auto"/>
        <w:jc w:val="center"/>
        <w:rPr>
          <w:rFonts w:ascii="Arial" w:hAnsi="Arial" w:cs="Arial"/>
          <w:b/>
          <w:sz w:val="18"/>
          <w:lang w:val="es-AR"/>
        </w:rPr>
      </w:pPr>
      <w:r>
        <w:rPr>
          <w:rFonts w:ascii="Arial" w:hAnsi="Arial" w:cs="Arial"/>
          <w:b/>
          <w:sz w:val="18"/>
          <w:lang w:val="es-AR"/>
        </w:rPr>
        <w:t>ANEXO II</w:t>
      </w:r>
    </w:p>
    <w:p w:rsidR="00382E7C" w:rsidRPr="0079507A" w:rsidRDefault="00382E7C" w:rsidP="00382E7C">
      <w:pPr>
        <w:spacing w:line="360" w:lineRule="auto"/>
        <w:jc w:val="center"/>
        <w:rPr>
          <w:rFonts w:ascii="Arial" w:hAnsi="Arial" w:cs="Arial"/>
          <w:b/>
          <w:sz w:val="18"/>
          <w:lang w:val="es-AR"/>
        </w:rPr>
      </w:pPr>
      <w:r w:rsidRPr="0079507A">
        <w:rPr>
          <w:rFonts w:ascii="Arial" w:hAnsi="Arial" w:cs="Arial"/>
          <w:b/>
          <w:sz w:val="18"/>
          <w:lang w:val="es-AR"/>
        </w:rPr>
        <w:t>PLIEGO ÚNICO DE BASES Y CONDICIONES GENERALES.</w:t>
      </w:r>
    </w:p>
    <w:p w:rsidR="00382E7C" w:rsidRPr="0079507A" w:rsidRDefault="00382E7C" w:rsidP="00382E7C">
      <w:pPr>
        <w:spacing w:line="360" w:lineRule="auto"/>
        <w:jc w:val="both"/>
        <w:rPr>
          <w:rFonts w:ascii="Arial" w:hAnsi="Arial" w:cs="Arial"/>
          <w:b/>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1° CÓMPUTO DE PLAZOS: Todos los plazos en el presente pliego se computarán en días hábiles administrativos, salvo que se disponga expresamente lo contrario.</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 xml:space="preserve">Artículo 2° NOTIFICACIONES: Todas las notificaciones entre la jurisdicción o entidad contratante y los interesados, oferentes, adjudicatarios o cocontratantes, podrán realizarse válida e indistintamente por cualquiera de los medios indicados en el artículo 56 del </w:t>
      </w:r>
      <w:r w:rsidRPr="00FD7292">
        <w:rPr>
          <w:rFonts w:ascii="Arial" w:hAnsi="Arial" w:cs="Arial"/>
          <w:sz w:val="18"/>
          <w:lang w:val="es-AR"/>
        </w:rPr>
        <w:t xml:space="preserve"> del texto adoptado por Resolución N° 1053/16 de la UNLP.</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382E7C"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5° VISTA DE LOS ORIGINALES DE LAS OFERTAS: Durante el acto de apertura, cualquiera de los presentes podrá requerir la vista de los precios cotizados en las ofertas presentadas.</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La vista del resto de los originales de las ofertas se llevará a cabo por el término de DOS (2) días hábiles, contados a partir del día hábil siguiente al de la apertura, de conformidad con el artículo 76</w:t>
      </w:r>
      <w:r>
        <w:rPr>
          <w:rFonts w:ascii="Arial" w:hAnsi="Arial" w:cs="Arial"/>
          <w:sz w:val="18"/>
          <w:lang w:val="es-AR"/>
        </w:rPr>
        <w:t>° d</w:t>
      </w:r>
      <w:r w:rsidRPr="000525AF">
        <w:rPr>
          <w:rFonts w:ascii="Arial" w:hAnsi="Arial" w:cs="Arial"/>
          <w:sz w:val="18"/>
          <w:lang w:val="es-AR"/>
        </w:rPr>
        <w:t>el texto adoptado por Resolución N° 1053/16 de la UNLP</w:t>
      </w:r>
      <w:r>
        <w:rPr>
          <w:rFonts w:ascii="Arial" w:hAnsi="Arial" w:cs="Arial"/>
          <w:sz w:val="18"/>
          <w:lang w:val="es-AR"/>
        </w:rPr>
        <w:t>.</w:t>
      </w:r>
      <w:r w:rsidRPr="000525AF">
        <w:rPr>
          <w:rFonts w:ascii="Arial" w:hAnsi="Arial" w:cs="Arial"/>
          <w:sz w:val="18"/>
          <w:lang w:val="es-AR"/>
        </w:rPr>
        <w:t xml:space="preserve"> </w:t>
      </w:r>
      <w:r w:rsidRPr="00D56F34">
        <w:rPr>
          <w:rFonts w:ascii="Arial" w:hAnsi="Arial" w:cs="Arial"/>
          <w:sz w:val="18"/>
          <w:lang w:val="es-AR"/>
        </w:rPr>
        <w:t>El titular de la unidad operativa de contrataciones deberá, de oficio o a pedido de parte, ampliar dicho plazo cuando el volumen o la complejidad de la contratación lo amerite.</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6° PRESENTACIÓN DE LAS OFERTAS: Las ofertas se deberán presentar en el lugar y hasta el día y hora que determine la jurisdicción o entidad contratante en la convocatoria.</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Como constancia de su recepción el oferente podrá solicitar que se le extienda un recibo.</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lastRenderedPageBreak/>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382E7C" w:rsidRDefault="00382E7C" w:rsidP="00382E7C">
      <w:pPr>
        <w:spacing w:line="360" w:lineRule="auto"/>
        <w:jc w:val="both"/>
        <w:rPr>
          <w:rFonts w:ascii="Arial" w:hAnsi="Arial" w:cs="Arial"/>
          <w:sz w:val="18"/>
          <w:lang w:val="es-AR"/>
        </w:rPr>
      </w:pPr>
      <w:r w:rsidRPr="00D56F34">
        <w:rPr>
          <w:rFonts w:ascii="Arial" w:hAnsi="Arial" w:cs="Arial"/>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w:t>
      </w:r>
      <w:r>
        <w:rPr>
          <w:rFonts w:ascii="Arial" w:hAnsi="Arial" w:cs="Arial"/>
          <w:sz w:val="18"/>
          <w:lang w:val="es-AR"/>
        </w:rPr>
        <w:t>°</w:t>
      </w:r>
      <w:r w:rsidRPr="00D56F34">
        <w:rPr>
          <w:rFonts w:ascii="Arial" w:hAnsi="Arial" w:cs="Arial"/>
          <w:sz w:val="18"/>
          <w:lang w:val="es-AR"/>
        </w:rPr>
        <w:t xml:space="preserve"> </w:t>
      </w:r>
      <w:r w:rsidRPr="00AE2CD3">
        <w:rPr>
          <w:rFonts w:ascii="Arial" w:hAnsi="Arial" w:cs="Arial"/>
          <w:sz w:val="18"/>
          <w:lang w:val="es-AR"/>
        </w:rPr>
        <w:t>del texto adoptado por Resolución N° 1053/16 de la UNLP</w:t>
      </w:r>
      <w:r>
        <w:rPr>
          <w:rFonts w:ascii="Arial" w:hAnsi="Arial" w:cs="Arial"/>
          <w:sz w:val="18"/>
          <w:lang w:val="es-AR"/>
        </w:rPr>
        <w:t>.</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El plazo de mantenimiento de oferta prorrogado en forma automática por períodos consecutivos no podrá exceder de UN (1) año contado a partir de la fecha del acto de apertura.</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El oferente podrá manifestar en su oferta que no renueva el plazo de mantenimiento de la misma al segundo período o que la mantiene por una determinada cantidad de períodos.</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Cuando de conformidad con el artículo 70</w:t>
      </w:r>
      <w:r>
        <w:rPr>
          <w:rFonts w:ascii="Arial" w:hAnsi="Arial" w:cs="Arial"/>
          <w:sz w:val="18"/>
          <w:lang w:val="es-AR"/>
        </w:rPr>
        <w:t>°</w:t>
      </w:r>
      <w:r w:rsidRPr="00D56F34">
        <w:rPr>
          <w:rFonts w:ascii="Arial" w:hAnsi="Arial" w:cs="Arial"/>
          <w:sz w:val="18"/>
          <w:lang w:val="es-AR"/>
        </w:rPr>
        <w:t xml:space="preserve"> inciso g) punto 2 y artículo 197</w:t>
      </w:r>
      <w:r>
        <w:rPr>
          <w:rFonts w:ascii="Arial" w:hAnsi="Arial" w:cs="Arial"/>
          <w:sz w:val="18"/>
          <w:lang w:val="es-AR"/>
        </w:rPr>
        <w:t>°</w:t>
      </w:r>
      <w:r w:rsidRPr="00570A67">
        <w:rPr>
          <w:rFonts w:ascii="Arial" w:hAnsi="Arial" w:cs="Arial"/>
          <w:sz w:val="18"/>
          <w:lang w:val="es-AR"/>
        </w:rPr>
        <w:t>-, del texto adoptado por Resolución N° 1053/16 de la UNLP</w:t>
      </w:r>
      <w:r w:rsidRPr="00D56F34">
        <w:rPr>
          <w:rFonts w:ascii="Arial" w:hAnsi="Arial" w:cs="Arial"/>
          <w:sz w:val="18"/>
          <w:lang w:val="es-AR"/>
        </w:rPr>
        <w:t xml:space="preserve"> </w:t>
      </w:r>
      <w:r>
        <w:rPr>
          <w:rFonts w:ascii="Arial" w:hAnsi="Arial" w:cs="Arial"/>
          <w:sz w:val="18"/>
          <w:lang w:val="es-AR"/>
        </w:rPr>
        <w:t>l</w:t>
      </w:r>
      <w:r w:rsidRPr="00D56F34">
        <w:rPr>
          <w:rFonts w:ascii="Arial" w:hAnsi="Arial" w:cs="Arial"/>
          <w:sz w:val="18"/>
          <w:lang w:val="es-AR"/>
        </w:rPr>
        <w:t>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10 DOCUMENTACIÓN A PRESENTAR: Junto con la oferta y formando parte de la misma: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 Todos los oferentes deberán acompañar:</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La garantía de mantenimiento de la oferta o la constancia de haberla constituido, en los casos en que corresponda.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 Las muestras, si así lo requiriera el pliego de bases y condiciones particulares o las bases del llamado.</w:t>
      </w:r>
    </w:p>
    <w:p w:rsidR="00382E7C" w:rsidRPr="00D56F34" w:rsidRDefault="00382E7C" w:rsidP="00382E7C">
      <w:pPr>
        <w:spacing w:line="360" w:lineRule="auto"/>
        <w:rPr>
          <w:rFonts w:ascii="Arial" w:hAnsi="Arial" w:cs="Arial"/>
          <w:sz w:val="18"/>
          <w:lang w:val="es-AR"/>
        </w:rPr>
      </w:pPr>
      <w:r>
        <w:rPr>
          <w:rFonts w:ascii="Arial" w:hAnsi="Arial" w:cs="Arial"/>
          <w:sz w:val="18"/>
          <w:lang w:val="es-AR"/>
        </w:rPr>
        <w:t>3</w:t>
      </w:r>
      <w:r w:rsidRPr="00D56F34">
        <w:rPr>
          <w:rFonts w:ascii="Arial" w:hAnsi="Arial" w:cs="Arial"/>
          <w:sz w:val="18"/>
          <w:lang w:val="es-AR"/>
        </w:rPr>
        <w:t>.- La restante información y documentación requerida en los respectivos pliegos de bases y condiciones particulares o en las bases del llamado.</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11 OFERENTES EXTRANJEROS: Junto con la oferta y formando parte de la misma: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 Todos los oferentes extranjeros deberán presentar la documentación referenciada en el artículo 10 inciso a) del presente.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b) Las personas físicas no residentes en el país deberán presentar:</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Copia fiel del pasaporte o documento de identificación del país de origen en caso de no poseer pasaporte.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 Copia fiel del formulario de inscripción en el ente tributario del país de origen o constancia equivalente.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c) Las personas jurídicas que tengan la sede principal de sus negocios en el extranjero y no tengan sucursal debidamente registrada en el país deberán presentar:</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Documentación que acredite la constitución de la persona jurídica conforme a las normas que rijan la creación de dichas instituciones.</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lastRenderedPageBreak/>
        <w:t>2. Documentación que acredite la personería (mandato, acta de asamblea en el que se lo designe como representante de la entidad respectiva, etc.) del apoderado o mandatario que actúe en representación de la entidad respectiva.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3. Nota, con carácter de declaración jurada, conteniendo la enumeración de las normas que regulan la constitución, funcionamiento, eventual disolución de las mismas y la representación legal.</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4. Copia fiel del formulario de inscripción en el ente tributario del país de origen o constancia equivalente.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d) La documentación mencionada precedentemente, deberá ser acompañada de la pertinente legalización efectuada conforme se indica: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De tratarse de actos que no fueron celebrados en países signatarios de la Convención de La Haya la legalización deberá ser practicada por autoridad consular argentina.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2.1. Documentos emitidos por una autoridad o un funcionario perteneciente a un tribunal del Estado signatario, inclusive los extendidos por un fiscal de justicia, un secretario o un oficial de justicia.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2.2. Documentos administrativos.</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2.3. Actas notariales.</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2.4. Certificaciones oficiales en documentos firmados por personas privadas (tal como la certificación del registro de un documento o de una fecha determinada) y la autenticación de firmas en documentos de carácter privado.</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Cuando se trate de documentos no comprendidos en los puntos 2.1. al 2.4. del presente inciso d), deberán aplicarse las disposiciones del punto 1.</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382E7C" w:rsidRDefault="00382E7C" w:rsidP="00382E7C">
      <w:pPr>
        <w:spacing w:line="360" w:lineRule="auto"/>
        <w:rPr>
          <w:rFonts w:ascii="Arial" w:hAnsi="Arial" w:cs="Arial"/>
          <w:sz w:val="18"/>
          <w:lang w:val="es-AR"/>
        </w:rPr>
      </w:pPr>
      <w:r w:rsidRPr="00D56F34">
        <w:rPr>
          <w:rFonts w:ascii="Arial" w:hAnsi="Arial" w:cs="Arial"/>
          <w:sz w:val="18"/>
          <w:lang w:val="es-AR"/>
        </w:rPr>
        <w:t xml:space="preserve">Todo otro error en la cotización denunciado por el oferente o detectado por el organismo contratante, de oficio o por intervención de terceros, antes de la adjudicación, producirá la desestimación de la oferta en los renglones pertinentes, con pérdida </w:t>
      </w:r>
      <w:r>
        <w:rPr>
          <w:rFonts w:ascii="Arial" w:hAnsi="Arial" w:cs="Arial"/>
          <w:sz w:val="18"/>
          <w:lang w:val="es-AR"/>
        </w:rPr>
        <w:t>de la garantía de mantenimiento.</w:t>
      </w:r>
    </w:p>
    <w:p w:rsidR="00382E7C" w:rsidRDefault="00382E7C" w:rsidP="00382E7C">
      <w:pPr>
        <w:spacing w:line="360" w:lineRule="auto"/>
        <w:rPr>
          <w:rFonts w:ascii="Arial" w:hAnsi="Arial" w:cs="Arial"/>
          <w:b/>
          <w:sz w:val="18"/>
        </w:rPr>
      </w:pPr>
    </w:p>
    <w:p w:rsidR="00382E7C" w:rsidRPr="009E3962" w:rsidRDefault="00382E7C" w:rsidP="00382E7C">
      <w:pPr>
        <w:spacing w:line="360" w:lineRule="auto"/>
        <w:rPr>
          <w:rFonts w:ascii="Arial" w:hAnsi="Arial" w:cs="Arial"/>
          <w:sz w:val="18"/>
        </w:rPr>
      </w:pPr>
      <w:r w:rsidRPr="00F3056F">
        <w:rPr>
          <w:rFonts w:ascii="Arial" w:hAnsi="Arial" w:cs="Arial"/>
          <w:sz w:val="18"/>
        </w:rPr>
        <w:t>Artículo 15 MEJORA DE PRECIO</w:t>
      </w:r>
      <w:r w:rsidRPr="009E3962">
        <w:rPr>
          <w:rFonts w:ascii="Arial" w:hAnsi="Arial" w:cs="Arial"/>
          <w:b/>
          <w:sz w:val="18"/>
        </w:rPr>
        <w:t>:</w:t>
      </w:r>
      <w:r w:rsidRPr="009E3962">
        <w:rPr>
          <w:rFonts w:ascii="Arial" w:hAnsi="Arial" w:cs="Arial"/>
          <w:sz w:val="18"/>
        </w:rPr>
        <w:t xml:space="preserve"> Además de las situaciones en que expresamente se permite la mejora de precios, el organismo contratante podrá solicitar al oferente que se encuentre primero en el orden de mérito una mejora de precios.</w:t>
      </w:r>
    </w:p>
    <w:p w:rsidR="00382E7C" w:rsidRPr="009E3962" w:rsidRDefault="00382E7C" w:rsidP="00382E7C">
      <w:pPr>
        <w:spacing w:line="360" w:lineRule="auto"/>
        <w:rPr>
          <w:rFonts w:ascii="Arial" w:hAnsi="Arial" w:cs="Arial"/>
          <w:sz w:val="18"/>
        </w:rPr>
      </w:pPr>
      <w:r w:rsidRPr="009E3962">
        <w:rPr>
          <w:rFonts w:ascii="Arial" w:hAnsi="Arial" w:cs="Arial"/>
          <w:sz w:val="18"/>
        </w:rPr>
        <w:t>Si el oferente no mejorara el precio de su oferta igualmente podrá ser adjudicado si su oferta se entiende conveniente.</w:t>
      </w:r>
    </w:p>
    <w:p w:rsidR="00382E7C" w:rsidRPr="00F3056F"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r w:rsidRPr="00F3056F">
        <w:rPr>
          <w:rFonts w:ascii="Arial" w:hAnsi="Arial" w:cs="Arial"/>
          <w:sz w:val="18"/>
        </w:rPr>
        <w:t>Artículo 16 GARANTÍA DE IMPUGNACIÓN:</w:t>
      </w:r>
      <w:r w:rsidRPr="009E3962">
        <w:rPr>
          <w:rFonts w:ascii="Arial" w:hAnsi="Arial" w:cs="Arial"/>
          <w:sz w:val="18"/>
        </w:rPr>
        <w:t xml:space="preserve"> La garantía de impugnación se constituirá de la siguiente forma:</w:t>
      </w:r>
    </w:p>
    <w:p w:rsidR="00382E7C" w:rsidRPr="009E3962" w:rsidRDefault="00382E7C" w:rsidP="00382E7C">
      <w:pPr>
        <w:spacing w:line="360" w:lineRule="auto"/>
        <w:rPr>
          <w:rFonts w:ascii="Arial" w:hAnsi="Arial" w:cs="Arial"/>
          <w:sz w:val="18"/>
        </w:rPr>
      </w:pPr>
      <w:r w:rsidRPr="009E3962">
        <w:rPr>
          <w:rFonts w:ascii="Arial" w:hAnsi="Arial" w:cs="Arial"/>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382E7C" w:rsidRPr="009E3962" w:rsidRDefault="00382E7C" w:rsidP="00382E7C">
      <w:pPr>
        <w:spacing w:line="360" w:lineRule="auto"/>
        <w:rPr>
          <w:rFonts w:ascii="Arial" w:hAnsi="Arial" w:cs="Arial"/>
          <w:sz w:val="18"/>
        </w:rPr>
      </w:pPr>
      <w:r w:rsidRPr="009E3962">
        <w:rPr>
          <w:rFonts w:ascii="Arial" w:hAnsi="Arial" w:cs="Arial"/>
          <w:sz w:val="18"/>
        </w:rPr>
        <w:t>El importe de la garantía de impugnación será equivalente al TRES POR CIENTO (3%) del monto de la oferta del renglón o los renglones en cuyo favor se hubiere aconsejado adjudicar el contrato.</w:t>
      </w:r>
    </w:p>
    <w:p w:rsidR="00382E7C" w:rsidRPr="009E3962" w:rsidRDefault="00382E7C" w:rsidP="00382E7C">
      <w:pPr>
        <w:spacing w:line="360" w:lineRule="auto"/>
        <w:rPr>
          <w:rFonts w:ascii="Arial" w:hAnsi="Arial" w:cs="Arial"/>
          <w:sz w:val="18"/>
        </w:rPr>
      </w:pPr>
      <w:r w:rsidRPr="009E3962">
        <w:rPr>
          <w:rFonts w:ascii="Arial" w:hAnsi="Arial" w:cs="Arial"/>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382E7C" w:rsidRPr="009E3962" w:rsidRDefault="00382E7C" w:rsidP="00382E7C">
      <w:pPr>
        <w:spacing w:line="360" w:lineRule="auto"/>
        <w:rPr>
          <w:rFonts w:ascii="Arial" w:hAnsi="Arial" w:cs="Arial"/>
          <w:sz w:val="18"/>
        </w:rPr>
      </w:pPr>
      <w:r w:rsidRPr="009E3962">
        <w:rPr>
          <w:rFonts w:ascii="Arial" w:hAnsi="Arial" w:cs="Arial"/>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382E7C" w:rsidRPr="009E3962" w:rsidRDefault="00382E7C" w:rsidP="00382E7C">
      <w:pPr>
        <w:spacing w:line="360" w:lineRule="auto"/>
        <w:rPr>
          <w:rFonts w:ascii="Arial" w:hAnsi="Arial" w:cs="Arial"/>
          <w:sz w:val="18"/>
        </w:rPr>
      </w:pPr>
      <w:r w:rsidRPr="009E3962">
        <w:rPr>
          <w:rFonts w:ascii="Arial" w:hAnsi="Arial" w:cs="Arial"/>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382E7C" w:rsidRPr="009E3962" w:rsidRDefault="00382E7C" w:rsidP="00382E7C">
      <w:pPr>
        <w:spacing w:line="360" w:lineRule="auto"/>
        <w:rPr>
          <w:rFonts w:ascii="Arial" w:hAnsi="Arial" w:cs="Arial"/>
          <w:sz w:val="18"/>
        </w:rPr>
      </w:pPr>
      <w:r w:rsidRPr="009E3962">
        <w:rPr>
          <w:rFonts w:ascii="Arial" w:hAnsi="Arial" w:cs="Arial"/>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382E7C" w:rsidRPr="009E3962" w:rsidRDefault="00382E7C" w:rsidP="00382E7C">
      <w:pPr>
        <w:spacing w:line="360" w:lineRule="auto"/>
        <w:rPr>
          <w:rFonts w:ascii="Arial" w:hAnsi="Arial" w:cs="Arial"/>
          <w:sz w:val="18"/>
        </w:rPr>
      </w:pPr>
      <w:r w:rsidRPr="009E3962">
        <w:rPr>
          <w:rFonts w:ascii="Arial" w:hAnsi="Arial" w:cs="Arial"/>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382E7C" w:rsidRPr="009E3962" w:rsidRDefault="00382E7C" w:rsidP="00382E7C">
      <w:pPr>
        <w:spacing w:line="360" w:lineRule="auto"/>
        <w:rPr>
          <w:rFonts w:ascii="Arial" w:hAnsi="Arial" w:cs="Arial"/>
          <w:sz w:val="18"/>
        </w:rPr>
      </w:pPr>
      <w:r w:rsidRPr="009E3962">
        <w:rPr>
          <w:rFonts w:ascii="Arial" w:hAnsi="Arial" w:cs="Arial"/>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382E7C" w:rsidRPr="009E3962"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r w:rsidRPr="003F0FCA">
        <w:rPr>
          <w:rFonts w:ascii="Arial" w:hAnsi="Arial" w:cs="Arial"/>
          <w:sz w:val="18"/>
        </w:rPr>
        <w:t>Artículo 17 ADJUDICACIÓN</w:t>
      </w:r>
      <w:r w:rsidRPr="009E3962">
        <w:rPr>
          <w:rFonts w:ascii="Arial" w:hAnsi="Arial" w:cs="Arial"/>
          <w:b/>
          <w:sz w:val="18"/>
        </w:rPr>
        <w:t>:</w:t>
      </w:r>
      <w:r w:rsidRPr="009E3962">
        <w:rPr>
          <w:rFonts w:ascii="Arial" w:hAnsi="Arial" w:cs="Arial"/>
          <w:sz w:val="18"/>
        </w:rPr>
        <w:t xml:space="preserve"> La adjudicación deberá recaer sobre la oferta más conveniente para la jurisdicción o entidad contratante. Podrá adjudicarse aun cuando se hubiera presentado una sola oferta.</w:t>
      </w:r>
    </w:p>
    <w:p w:rsidR="00382E7C" w:rsidRPr="009E3962" w:rsidRDefault="00382E7C" w:rsidP="00382E7C">
      <w:pPr>
        <w:spacing w:line="360" w:lineRule="auto"/>
        <w:rPr>
          <w:rFonts w:ascii="Arial" w:hAnsi="Arial" w:cs="Arial"/>
          <w:sz w:val="18"/>
        </w:rPr>
      </w:pPr>
      <w:r w:rsidRPr="009E3962">
        <w:rPr>
          <w:rFonts w:ascii="Arial" w:hAnsi="Arial" w:cs="Arial"/>
          <w:sz w:val="18"/>
        </w:rPr>
        <w:t>La adjudicación podrá realizarse por renglón o por grupo de renglones, de conformidad con lo que dispongan los pliegos de bases y condiciones particulares o las bases del llamado.</w:t>
      </w:r>
    </w:p>
    <w:p w:rsidR="00382E7C" w:rsidRPr="009E3962" w:rsidRDefault="00382E7C" w:rsidP="00382E7C">
      <w:pPr>
        <w:spacing w:line="360" w:lineRule="auto"/>
        <w:rPr>
          <w:rFonts w:ascii="Arial" w:hAnsi="Arial" w:cs="Arial"/>
          <w:sz w:val="18"/>
        </w:rPr>
      </w:pPr>
      <w:r w:rsidRPr="009E3962">
        <w:rPr>
          <w:rFonts w:ascii="Arial" w:hAnsi="Arial" w:cs="Arial"/>
          <w:sz w:val="18"/>
        </w:rPr>
        <w:t>En los casos en que se permita la cotización parcial, la adjudicación podrá ser parcial, aun cuando el oferente hubiere cotizado por el total de la cantidad solicitada para cada renglón.</w:t>
      </w:r>
    </w:p>
    <w:p w:rsidR="00382E7C" w:rsidRDefault="00382E7C" w:rsidP="00382E7C">
      <w:pPr>
        <w:spacing w:line="360" w:lineRule="auto"/>
        <w:rPr>
          <w:rFonts w:ascii="Arial" w:hAnsi="Arial" w:cs="Arial"/>
          <w:b/>
          <w:sz w:val="18"/>
        </w:rPr>
      </w:pPr>
    </w:p>
    <w:p w:rsidR="00382E7C" w:rsidRPr="009E3962" w:rsidRDefault="00382E7C" w:rsidP="00382E7C">
      <w:pPr>
        <w:spacing w:line="360" w:lineRule="auto"/>
        <w:rPr>
          <w:rFonts w:ascii="Arial" w:hAnsi="Arial" w:cs="Arial"/>
          <w:sz w:val="18"/>
        </w:rPr>
      </w:pPr>
      <w:r w:rsidRPr="003F0FCA">
        <w:rPr>
          <w:rFonts w:ascii="Arial" w:hAnsi="Arial" w:cs="Arial"/>
          <w:sz w:val="18"/>
        </w:rPr>
        <w:t>Artículo 18 REQUISITOS MÍNIMOS QUE DEBEN CONTENER LOS PLIEGOS DE BASES Y CONDICIONES PARTICULARES O LAS BASES DEL LLAMADO</w:t>
      </w:r>
      <w:r w:rsidRPr="009E3962">
        <w:rPr>
          <w:rFonts w:ascii="Arial" w:hAnsi="Arial" w:cs="Arial"/>
          <w:b/>
          <w:sz w:val="18"/>
        </w:rPr>
        <w:t>:</w:t>
      </w:r>
      <w:r w:rsidRPr="009E3962">
        <w:rPr>
          <w:rFonts w:ascii="Arial" w:hAnsi="Arial" w:cs="Arial"/>
          <w:sz w:val="18"/>
        </w:rPr>
        <w:t xml:space="preserve"> Los pliegos de bases y condiciones particulares o las bases del llamado deberán contener los siguientes requisitos mínimos:</w:t>
      </w:r>
    </w:p>
    <w:p w:rsidR="00382E7C" w:rsidRPr="009E3962" w:rsidRDefault="00382E7C" w:rsidP="00382E7C">
      <w:pPr>
        <w:spacing w:line="360" w:lineRule="auto"/>
        <w:rPr>
          <w:rFonts w:ascii="Arial" w:hAnsi="Arial" w:cs="Arial"/>
          <w:sz w:val="18"/>
        </w:rPr>
      </w:pPr>
      <w:r w:rsidRPr="009E3962">
        <w:rPr>
          <w:rFonts w:ascii="Arial" w:hAnsi="Arial" w:cs="Arial"/>
          <w:sz w:val="18"/>
        </w:rPr>
        <w:t>1. Nombre de la jurisdicción o entidad contratante.</w:t>
      </w:r>
    </w:p>
    <w:p w:rsidR="00382E7C" w:rsidRPr="009E3962" w:rsidRDefault="00382E7C" w:rsidP="00382E7C">
      <w:pPr>
        <w:spacing w:line="360" w:lineRule="auto"/>
        <w:rPr>
          <w:rFonts w:ascii="Arial" w:hAnsi="Arial" w:cs="Arial"/>
          <w:sz w:val="18"/>
        </w:rPr>
      </w:pPr>
      <w:r w:rsidRPr="009E3962">
        <w:rPr>
          <w:rFonts w:ascii="Arial" w:hAnsi="Arial" w:cs="Arial"/>
          <w:sz w:val="18"/>
        </w:rPr>
        <w:t>2. Denominación de la Unidad Operativa de Contrataciones que gestiona el procedimiento.</w:t>
      </w:r>
    </w:p>
    <w:p w:rsidR="00382E7C" w:rsidRPr="009E3962" w:rsidRDefault="00382E7C" w:rsidP="00382E7C">
      <w:pPr>
        <w:spacing w:line="360" w:lineRule="auto"/>
        <w:rPr>
          <w:rFonts w:ascii="Arial" w:hAnsi="Arial" w:cs="Arial"/>
          <w:sz w:val="18"/>
        </w:rPr>
      </w:pPr>
      <w:r w:rsidRPr="009E3962">
        <w:rPr>
          <w:rFonts w:ascii="Arial" w:hAnsi="Arial" w:cs="Arial"/>
          <w:sz w:val="18"/>
        </w:rPr>
        <w:t>3. Identificación del expediente administrativo por el que tramita el procedimiento de selección.</w:t>
      </w:r>
    </w:p>
    <w:p w:rsidR="00382E7C" w:rsidRPr="009E3962" w:rsidRDefault="00382E7C" w:rsidP="00382E7C">
      <w:pPr>
        <w:spacing w:line="360" w:lineRule="auto"/>
        <w:rPr>
          <w:rFonts w:ascii="Arial" w:hAnsi="Arial" w:cs="Arial"/>
          <w:sz w:val="18"/>
        </w:rPr>
      </w:pPr>
      <w:r w:rsidRPr="009E3962">
        <w:rPr>
          <w:rFonts w:ascii="Arial" w:hAnsi="Arial" w:cs="Arial"/>
          <w:sz w:val="18"/>
        </w:rPr>
        <w:t>4. Costo del pliego, cuando corresponda.</w:t>
      </w:r>
    </w:p>
    <w:p w:rsidR="00382E7C" w:rsidRPr="009E3962" w:rsidRDefault="00382E7C" w:rsidP="00382E7C">
      <w:pPr>
        <w:spacing w:line="360" w:lineRule="auto"/>
        <w:rPr>
          <w:rFonts w:ascii="Arial" w:hAnsi="Arial" w:cs="Arial"/>
          <w:sz w:val="18"/>
        </w:rPr>
      </w:pPr>
      <w:r w:rsidRPr="009E3962">
        <w:rPr>
          <w:rFonts w:ascii="Arial" w:hAnsi="Arial" w:cs="Arial"/>
          <w:sz w:val="18"/>
        </w:rPr>
        <w:t>5. Domicilio, correo electrónico institucional, y número de fax en los que serán válidas las comunicaciones e impugnaciones que los interesados, oferentes, adjudicatarios o cocontratantes realicen en ellos.</w:t>
      </w:r>
    </w:p>
    <w:p w:rsidR="00382E7C" w:rsidRPr="009E3962" w:rsidRDefault="00382E7C" w:rsidP="00382E7C">
      <w:pPr>
        <w:spacing w:line="360" w:lineRule="auto"/>
        <w:rPr>
          <w:rFonts w:ascii="Arial" w:hAnsi="Arial" w:cs="Arial"/>
          <w:sz w:val="18"/>
        </w:rPr>
      </w:pPr>
      <w:r w:rsidRPr="009E3962">
        <w:rPr>
          <w:rFonts w:ascii="Arial" w:hAnsi="Arial" w:cs="Arial"/>
          <w:sz w:val="18"/>
        </w:rPr>
        <w:t>6. Tipo, número y ejercicio, clase o causal y modalidad del procedimiento de selección.</w:t>
      </w:r>
    </w:p>
    <w:p w:rsidR="00382E7C" w:rsidRPr="009E3962" w:rsidRDefault="00382E7C" w:rsidP="00382E7C">
      <w:pPr>
        <w:spacing w:line="360" w:lineRule="auto"/>
        <w:rPr>
          <w:rFonts w:ascii="Arial" w:hAnsi="Arial" w:cs="Arial"/>
          <w:sz w:val="18"/>
        </w:rPr>
      </w:pPr>
      <w:r w:rsidRPr="009E3962">
        <w:rPr>
          <w:rFonts w:ascii="Arial" w:hAnsi="Arial" w:cs="Arial"/>
          <w:sz w:val="18"/>
        </w:rPr>
        <w:t>7. Rubro y objeto del procedimiento.</w:t>
      </w:r>
    </w:p>
    <w:p w:rsidR="00382E7C" w:rsidRPr="009E3962" w:rsidRDefault="00382E7C" w:rsidP="00382E7C">
      <w:pPr>
        <w:spacing w:line="360" w:lineRule="auto"/>
        <w:rPr>
          <w:rFonts w:ascii="Arial" w:hAnsi="Arial" w:cs="Arial"/>
          <w:sz w:val="18"/>
        </w:rPr>
      </w:pPr>
      <w:r w:rsidRPr="009E3962">
        <w:rPr>
          <w:rFonts w:ascii="Arial" w:hAnsi="Arial" w:cs="Arial"/>
          <w:sz w:val="18"/>
        </w:rPr>
        <w:t>8. Plazo de duración del contrato, cuando corresponda.</w:t>
      </w:r>
    </w:p>
    <w:p w:rsidR="00382E7C" w:rsidRPr="009E3962" w:rsidRDefault="00382E7C" w:rsidP="00382E7C">
      <w:pPr>
        <w:spacing w:line="360" w:lineRule="auto"/>
        <w:rPr>
          <w:rFonts w:ascii="Arial" w:hAnsi="Arial" w:cs="Arial"/>
          <w:sz w:val="18"/>
        </w:rPr>
      </w:pPr>
      <w:r w:rsidRPr="009E3962">
        <w:rPr>
          <w:rFonts w:ascii="Arial" w:hAnsi="Arial" w:cs="Arial"/>
          <w:sz w:val="18"/>
        </w:rPr>
        <w:t>9. Prever la opción a prórroga, cuando corresponda.</w:t>
      </w:r>
    </w:p>
    <w:p w:rsidR="00382E7C" w:rsidRPr="009E3962" w:rsidRDefault="00382E7C" w:rsidP="00382E7C">
      <w:pPr>
        <w:spacing w:line="360" w:lineRule="auto"/>
        <w:rPr>
          <w:rFonts w:ascii="Arial" w:hAnsi="Arial" w:cs="Arial"/>
          <w:sz w:val="18"/>
        </w:rPr>
      </w:pPr>
      <w:r w:rsidRPr="009E3962">
        <w:rPr>
          <w:rFonts w:ascii="Arial" w:hAnsi="Arial" w:cs="Arial"/>
          <w:sz w:val="18"/>
        </w:rPr>
        <w:t>10. Lugar, plazo y horario en que las muestras patrón podrán ser examinadas por los interesados,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1</w:t>
      </w:r>
      <w:r w:rsidRPr="009E3962">
        <w:rPr>
          <w:rFonts w:ascii="Arial" w:hAnsi="Arial" w:cs="Arial"/>
          <w:sz w:val="18"/>
        </w:rPr>
        <w:t>. Lugar, plazo y horario para presentar muestras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2</w:t>
      </w:r>
      <w:r w:rsidRPr="009E3962">
        <w:rPr>
          <w:rFonts w:ascii="Arial" w:hAnsi="Arial" w:cs="Arial"/>
          <w:sz w:val="18"/>
        </w:rPr>
        <w:t>. Lugar y horario para realizar visitas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3</w:t>
      </w:r>
      <w:r w:rsidRPr="009E3962">
        <w:rPr>
          <w:rFonts w:ascii="Arial" w:hAnsi="Arial" w:cs="Arial"/>
          <w:sz w:val="18"/>
        </w:rPr>
        <w:t>. Moneda de cotización.</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4</w:t>
      </w:r>
      <w:r w:rsidRPr="009E3962">
        <w:rPr>
          <w:rFonts w:ascii="Arial" w:hAnsi="Arial" w:cs="Arial"/>
          <w:sz w:val="18"/>
        </w:rPr>
        <w:t>. Forma y moneda de cotización de los seguros y fletes en las cotizaciones en condición C.I.F.</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5</w:t>
      </w:r>
      <w:r w:rsidRPr="009E3962">
        <w:rPr>
          <w:rFonts w:ascii="Arial" w:hAnsi="Arial" w:cs="Arial"/>
          <w:sz w:val="18"/>
        </w:rPr>
        <w:t>. Si se admitirán ofertas alternativas y/o variantes, conforme los términos del artículo 198</w:t>
      </w:r>
      <w:r>
        <w:rPr>
          <w:rFonts w:ascii="Arial" w:hAnsi="Arial" w:cs="Arial"/>
          <w:sz w:val="18"/>
        </w:rPr>
        <w:t>°</w:t>
      </w:r>
      <w:r w:rsidRPr="009E3962">
        <w:rPr>
          <w:rFonts w:ascii="Arial" w:hAnsi="Arial" w:cs="Arial"/>
          <w:sz w:val="18"/>
        </w:rPr>
        <w:t xml:space="preserve"> </w:t>
      </w:r>
      <w:r w:rsidRPr="007809F1">
        <w:rPr>
          <w:rFonts w:ascii="Arial" w:hAnsi="Arial" w:cs="Arial"/>
          <w:sz w:val="18"/>
          <w:lang w:val="es-AR"/>
        </w:rPr>
        <w:t>-, del texto adoptado por Resolución N° 1053/16 de la UNLP</w:t>
      </w:r>
      <w:r w:rsidRPr="007809F1">
        <w:rPr>
          <w:rFonts w:ascii="Arial" w:hAnsi="Arial" w:cs="Arial"/>
          <w:sz w:val="18"/>
        </w:rPr>
        <w:t>.</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6</w:t>
      </w:r>
      <w:r w:rsidRPr="009E3962">
        <w:rPr>
          <w:rFonts w:ascii="Arial" w:hAnsi="Arial" w:cs="Arial"/>
          <w:sz w:val="18"/>
        </w:rPr>
        <w:t>. El porcentaje fijo en el que las micro, pequeñas y medianas empresas podrán presentar ofertas por parte del renglón, que no podrá ser inferior al VEINTE POR CIENTO (20%) ni superior al TREINTA Y CINCO POR CIENTO (35%) del total del renglón.</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7</w:t>
      </w:r>
      <w:r w:rsidRPr="009E3962">
        <w:rPr>
          <w:rFonts w:ascii="Arial" w:hAnsi="Arial" w:cs="Arial"/>
          <w:sz w:val="18"/>
        </w:rPr>
        <w:t>. El porcentaje fijo en el que los oferentes que cumplan con los criterios de sustentabilidad podrán presentar ofertas por parte del renglón, que no podrá ser inferior al VEINTE POR CIENTO (20%) o bien indicar que no existe tal posibilidad.</w:t>
      </w:r>
    </w:p>
    <w:p w:rsidR="00382E7C" w:rsidRPr="009E3962" w:rsidRDefault="00382E7C" w:rsidP="00382E7C">
      <w:pPr>
        <w:spacing w:line="360" w:lineRule="auto"/>
        <w:rPr>
          <w:rFonts w:ascii="Arial" w:hAnsi="Arial" w:cs="Arial"/>
          <w:sz w:val="18"/>
        </w:rPr>
      </w:pPr>
      <w:r>
        <w:rPr>
          <w:rFonts w:ascii="Arial" w:hAnsi="Arial" w:cs="Arial"/>
          <w:sz w:val="18"/>
        </w:rPr>
        <w:t>18</w:t>
      </w:r>
      <w:r w:rsidRPr="009E3962">
        <w:rPr>
          <w:rFonts w:ascii="Arial" w:hAnsi="Arial" w:cs="Arial"/>
          <w:sz w:val="18"/>
        </w:rPr>
        <w:t>. Cantidad de copias que los oferentes deberán presentar de las fojas de su oferta en donde consten los precios cotizados.</w:t>
      </w:r>
    </w:p>
    <w:p w:rsidR="00382E7C" w:rsidRPr="009E3962" w:rsidRDefault="00382E7C" w:rsidP="00382E7C">
      <w:pPr>
        <w:spacing w:line="360" w:lineRule="auto"/>
        <w:rPr>
          <w:rFonts w:ascii="Arial" w:hAnsi="Arial" w:cs="Arial"/>
          <w:sz w:val="18"/>
        </w:rPr>
      </w:pPr>
      <w:r>
        <w:rPr>
          <w:rFonts w:ascii="Arial" w:hAnsi="Arial" w:cs="Arial"/>
          <w:sz w:val="18"/>
        </w:rPr>
        <w:t>19</w:t>
      </w:r>
      <w:r w:rsidRPr="009E3962">
        <w:rPr>
          <w:rFonts w:ascii="Arial" w:hAnsi="Arial" w:cs="Arial"/>
          <w:sz w:val="18"/>
        </w:rPr>
        <w:t>. Cuando existan razones fundadas, elegir la forma de garantía.</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0</w:t>
      </w:r>
      <w:r w:rsidRPr="009E3962">
        <w:rPr>
          <w:rFonts w:ascii="Arial" w:hAnsi="Arial" w:cs="Arial"/>
          <w:sz w:val="18"/>
        </w:rPr>
        <w:t>.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1</w:t>
      </w:r>
      <w:r w:rsidRPr="009E3962">
        <w:rPr>
          <w:rFonts w:ascii="Arial" w:hAnsi="Arial" w:cs="Arial"/>
          <w:sz w:val="18"/>
        </w:rPr>
        <w:t>. Requisitos que deberán reunir las compañías aseguradoras con el fin de preservar el eventual cobro del seguro de caución,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2</w:t>
      </w:r>
      <w:r w:rsidRPr="009E3962">
        <w:rPr>
          <w:rFonts w:ascii="Arial" w:hAnsi="Arial" w:cs="Arial"/>
          <w:sz w:val="18"/>
        </w:rPr>
        <w:t>. Si se exigirá garantía de impugnación al dictamen de evaluación y establecer los montos fijos para su constitución.</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3</w:t>
      </w:r>
      <w:r w:rsidRPr="009E3962">
        <w:rPr>
          <w:rFonts w:ascii="Arial" w:hAnsi="Arial" w:cs="Arial"/>
          <w:sz w:val="18"/>
        </w:rPr>
        <w:t>. Plazo de mantenimiento de la oferta y de su prórroga.</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4</w:t>
      </w:r>
      <w:r w:rsidRPr="009E3962">
        <w:rPr>
          <w:rFonts w:ascii="Arial" w:hAnsi="Arial" w:cs="Arial"/>
          <w:sz w:val="18"/>
        </w:rPr>
        <w:t>.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382E7C" w:rsidRPr="009E3962" w:rsidRDefault="00382E7C" w:rsidP="00382E7C">
      <w:pPr>
        <w:spacing w:line="360" w:lineRule="auto"/>
        <w:rPr>
          <w:rFonts w:ascii="Arial" w:hAnsi="Arial" w:cs="Arial"/>
          <w:sz w:val="18"/>
        </w:rPr>
      </w:pPr>
      <w:r>
        <w:rPr>
          <w:rFonts w:ascii="Arial" w:hAnsi="Arial" w:cs="Arial"/>
          <w:sz w:val="18"/>
        </w:rPr>
        <w:t>25</w:t>
      </w:r>
      <w:r w:rsidRPr="009E3962">
        <w:rPr>
          <w:rFonts w:ascii="Arial" w:hAnsi="Arial" w:cs="Arial"/>
          <w:sz w:val="18"/>
        </w:rPr>
        <w:t>. Plazo o fecha de entrega de los bienes o de prestación de los servicios. Para ello, el organismo contratante deberá considerar la normativa impositiva, aduanera o cualquier otra disposición que pudiera incidir en dichos plazos.</w:t>
      </w:r>
    </w:p>
    <w:p w:rsidR="00382E7C" w:rsidRPr="009E3962" w:rsidRDefault="00382E7C" w:rsidP="00382E7C">
      <w:pPr>
        <w:spacing w:line="360" w:lineRule="auto"/>
        <w:rPr>
          <w:rFonts w:ascii="Arial" w:hAnsi="Arial" w:cs="Arial"/>
          <w:sz w:val="18"/>
        </w:rPr>
      </w:pPr>
      <w:r>
        <w:rPr>
          <w:rFonts w:ascii="Arial" w:hAnsi="Arial" w:cs="Arial"/>
          <w:sz w:val="18"/>
        </w:rPr>
        <w:t>26</w:t>
      </w:r>
      <w:r w:rsidRPr="009E3962">
        <w:rPr>
          <w:rFonts w:ascii="Arial" w:hAnsi="Arial" w:cs="Arial"/>
          <w:sz w:val="18"/>
        </w:rPr>
        <w:t>. Forma de entrega de los bienes o de prestación de los servicios.</w:t>
      </w:r>
    </w:p>
    <w:p w:rsidR="00382E7C" w:rsidRPr="009E3962" w:rsidRDefault="00382E7C" w:rsidP="00382E7C">
      <w:pPr>
        <w:spacing w:line="360" w:lineRule="auto"/>
        <w:rPr>
          <w:rFonts w:ascii="Arial" w:hAnsi="Arial" w:cs="Arial"/>
          <w:sz w:val="18"/>
        </w:rPr>
      </w:pPr>
      <w:r>
        <w:rPr>
          <w:rFonts w:ascii="Arial" w:hAnsi="Arial" w:cs="Arial"/>
          <w:sz w:val="18"/>
        </w:rPr>
        <w:t>27</w:t>
      </w:r>
      <w:r w:rsidRPr="009E3962">
        <w:rPr>
          <w:rFonts w:ascii="Arial" w:hAnsi="Arial" w:cs="Arial"/>
          <w:sz w:val="18"/>
        </w:rPr>
        <w:t>. Lugar de entrega de los bienes o de prestación de los servicios.</w:t>
      </w:r>
    </w:p>
    <w:p w:rsidR="00382E7C" w:rsidRDefault="00382E7C" w:rsidP="00382E7C">
      <w:pPr>
        <w:spacing w:line="360" w:lineRule="auto"/>
        <w:rPr>
          <w:rFonts w:ascii="Arial" w:hAnsi="Arial" w:cs="Arial"/>
          <w:sz w:val="18"/>
        </w:rPr>
      </w:pPr>
      <w:r>
        <w:rPr>
          <w:rFonts w:ascii="Arial" w:hAnsi="Arial" w:cs="Arial"/>
          <w:sz w:val="18"/>
        </w:rPr>
        <w:t>28</w:t>
      </w:r>
      <w:r w:rsidRPr="009E3962">
        <w:rPr>
          <w:rFonts w:ascii="Arial" w:hAnsi="Arial" w:cs="Arial"/>
          <w:sz w:val="18"/>
        </w:rPr>
        <w:t xml:space="preserve">. Plazo en que se va a otorgar la recepción definitiva, </w:t>
      </w:r>
    </w:p>
    <w:p w:rsidR="00382E7C" w:rsidRPr="009E3962" w:rsidRDefault="00382E7C" w:rsidP="00382E7C">
      <w:pPr>
        <w:spacing w:line="360" w:lineRule="auto"/>
        <w:rPr>
          <w:rFonts w:ascii="Arial" w:hAnsi="Arial" w:cs="Arial"/>
          <w:sz w:val="18"/>
        </w:rPr>
      </w:pPr>
      <w:r>
        <w:rPr>
          <w:rFonts w:ascii="Arial" w:hAnsi="Arial" w:cs="Arial"/>
          <w:sz w:val="18"/>
        </w:rPr>
        <w:t>29</w:t>
      </w:r>
      <w:r w:rsidRPr="009E3962">
        <w:rPr>
          <w:rFonts w:ascii="Arial" w:hAnsi="Arial" w:cs="Arial"/>
          <w:sz w:val="18"/>
        </w:rPr>
        <w:t>. Forma, plazo, lugar y horario de presentación de las facturas.</w:t>
      </w:r>
    </w:p>
    <w:p w:rsidR="00382E7C" w:rsidRPr="009E3962" w:rsidRDefault="00382E7C" w:rsidP="00382E7C">
      <w:pPr>
        <w:spacing w:line="360" w:lineRule="auto"/>
        <w:rPr>
          <w:rFonts w:ascii="Arial" w:hAnsi="Arial" w:cs="Arial"/>
          <w:sz w:val="18"/>
        </w:rPr>
      </w:pPr>
      <w:r>
        <w:rPr>
          <w:rFonts w:ascii="Arial" w:hAnsi="Arial" w:cs="Arial"/>
          <w:sz w:val="18"/>
        </w:rPr>
        <w:t>30</w:t>
      </w:r>
      <w:r w:rsidRPr="009E3962">
        <w:rPr>
          <w:rFonts w:ascii="Arial" w:hAnsi="Arial" w:cs="Arial"/>
          <w:sz w:val="18"/>
        </w:rPr>
        <w:t>. Forma de pago.</w:t>
      </w:r>
    </w:p>
    <w:p w:rsidR="00382E7C" w:rsidRPr="009E3962" w:rsidRDefault="00382E7C" w:rsidP="00382E7C">
      <w:pPr>
        <w:spacing w:line="360" w:lineRule="auto"/>
        <w:rPr>
          <w:rFonts w:ascii="Arial" w:hAnsi="Arial" w:cs="Arial"/>
          <w:sz w:val="18"/>
        </w:rPr>
      </w:pPr>
      <w:r>
        <w:rPr>
          <w:rFonts w:ascii="Arial" w:hAnsi="Arial" w:cs="Arial"/>
          <w:sz w:val="18"/>
        </w:rPr>
        <w:t>31</w:t>
      </w:r>
      <w:r w:rsidRPr="009E3962">
        <w:rPr>
          <w:rFonts w:ascii="Arial" w:hAnsi="Arial" w:cs="Arial"/>
          <w:sz w:val="18"/>
        </w:rPr>
        <w:t>. Plazo de pago si se fijara uno distinto al previsto en el Reglamento aprobado por el Decreto Nº 893/12.</w:t>
      </w:r>
    </w:p>
    <w:p w:rsidR="00382E7C" w:rsidRPr="009E3962" w:rsidRDefault="00382E7C" w:rsidP="00382E7C">
      <w:pPr>
        <w:spacing w:line="360" w:lineRule="auto"/>
        <w:rPr>
          <w:rFonts w:ascii="Arial" w:hAnsi="Arial" w:cs="Arial"/>
          <w:sz w:val="18"/>
        </w:rPr>
      </w:pPr>
      <w:r>
        <w:rPr>
          <w:rFonts w:ascii="Arial" w:hAnsi="Arial" w:cs="Arial"/>
          <w:sz w:val="18"/>
        </w:rPr>
        <w:t>32</w:t>
      </w:r>
      <w:r w:rsidRPr="009E3962">
        <w:rPr>
          <w:rFonts w:ascii="Arial" w:hAnsi="Arial" w:cs="Arial"/>
          <w:sz w:val="18"/>
        </w:rPr>
        <w:t>. Fijar la jurisdicción de los tribunales competentes en caso de conflicto.</w:t>
      </w:r>
    </w:p>
    <w:p w:rsidR="00382E7C" w:rsidRPr="009E3962"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r w:rsidRPr="00D07A57">
        <w:rPr>
          <w:rFonts w:ascii="Arial" w:hAnsi="Arial" w:cs="Arial"/>
          <w:sz w:val="18"/>
        </w:rPr>
        <w:t>Artículo 20 ANEXOS AL PLIEGO DE BASES Y CONDICIONES PARTICULARES O A LAS BASES DEL LLAMADO</w:t>
      </w:r>
      <w:r w:rsidRPr="009E3962">
        <w:rPr>
          <w:rFonts w:ascii="Arial" w:hAnsi="Arial" w:cs="Arial"/>
          <w:b/>
          <w:sz w:val="18"/>
        </w:rPr>
        <w:t>:</w:t>
      </w:r>
      <w:r w:rsidRPr="009E3962">
        <w:rPr>
          <w:rFonts w:ascii="Arial" w:hAnsi="Arial" w:cs="Arial"/>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382E7C" w:rsidRPr="009E3962" w:rsidRDefault="00382E7C" w:rsidP="00382E7C">
      <w:pPr>
        <w:spacing w:line="360" w:lineRule="auto"/>
        <w:rPr>
          <w:rFonts w:ascii="Arial" w:hAnsi="Arial" w:cs="Arial"/>
          <w:sz w:val="18"/>
        </w:rPr>
      </w:pPr>
      <w:r w:rsidRPr="009E3962">
        <w:rPr>
          <w:rFonts w:ascii="Arial" w:hAnsi="Arial" w:cs="Arial"/>
          <w:sz w:val="18"/>
        </w:rPr>
        <w:t>Junto con el pliego de bases y condiciones particulares o la base del llamado se deberá entregar el anuncio de la convocatoria o la invitación con los requisitos indicados en el artículo 57</w:t>
      </w:r>
      <w:r>
        <w:rPr>
          <w:rFonts w:ascii="Arial" w:hAnsi="Arial" w:cs="Arial"/>
          <w:sz w:val="18"/>
        </w:rPr>
        <w:t>°</w:t>
      </w:r>
      <w:r w:rsidRPr="009E3962">
        <w:rPr>
          <w:rFonts w:ascii="Arial" w:hAnsi="Arial" w:cs="Arial"/>
          <w:sz w:val="18"/>
        </w:rPr>
        <w:t xml:space="preserve"> </w:t>
      </w:r>
      <w:r w:rsidRPr="007809F1">
        <w:rPr>
          <w:rFonts w:ascii="Arial" w:hAnsi="Arial" w:cs="Arial"/>
          <w:sz w:val="18"/>
          <w:lang w:val="es-AR"/>
        </w:rPr>
        <w:t>del texto adoptado por Resolución N° 1053/16 de la UNLP</w:t>
      </w:r>
      <w:r>
        <w:rPr>
          <w:rFonts w:ascii="Arial" w:hAnsi="Arial" w:cs="Arial"/>
          <w:sz w:val="18"/>
          <w:lang w:val="es-AR"/>
        </w:rPr>
        <w:t>.</w:t>
      </w:r>
    </w:p>
    <w:p w:rsidR="00382E7C" w:rsidRPr="00656B0E" w:rsidRDefault="00382E7C" w:rsidP="00382E7C">
      <w:pPr>
        <w:tabs>
          <w:tab w:val="left" w:pos="6426"/>
        </w:tabs>
        <w:rPr>
          <w:rFonts w:ascii="Verdana" w:hAnsi="Verdana" w:cs="Arial"/>
          <w:sz w:val="20"/>
          <w:szCs w:val="20"/>
        </w:rPr>
      </w:pPr>
    </w:p>
    <w:p w:rsidR="00382E7C" w:rsidRPr="00F74354" w:rsidRDefault="00382E7C" w:rsidP="00382E7C">
      <w:pPr>
        <w:spacing w:line="360" w:lineRule="auto"/>
        <w:rPr>
          <w:rFonts w:ascii="Arial" w:hAnsi="Arial" w:cs="Arial"/>
          <w:sz w:val="18"/>
        </w:rPr>
      </w:pPr>
    </w:p>
    <w:p w:rsidR="00382E7C" w:rsidRPr="00D56F34"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281B94" w:rsidRPr="00382E7C" w:rsidRDefault="00281B94">
      <w:pPr>
        <w:rPr>
          <w:lang w:val="es-AR"/>
        </w:rPr>
      </w:pPr>
    </w:p>
    <w:sectPr w:rsidR="00281B94" w:rsidRPr="00382E7C" w:rsidSect="000A7B5E">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402" w:rsidRDefault="00416402" w:rsidP="00E537BC">
      <w:r>
        <w:separator/>
      </w:r>
    </w:p>
  </w:endnote>
  <w:endnote w:type="continuationSeparator" w:id="1">
    <w:p w:rsidR="00416402" w:rsidRDefault="00416402" w:rsidP="00E537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402" w:rsidRDefault="00416402" w:rsidP="00E537BC">
      <w:r>
        <w:separator/>
      </w:r>
    </w:p>
  </w:footnote>
  <w:footnote w:type="continuationSeparator" w:id="1">
    <w:p w:rsidR="00416402" w:rsidRDefault="00416402" w:rsidP="00E53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5E" w:rsidRDefault="000A7B5E">
    <w:pPr>
      <w:pStyle w:val="Encabezado"/>
    </w:pPr>
    <w:r>
      <w:rPr>
        <w:noProof/>
      </w:rPr>
      <w:drawing>
        <wp:anchor distT="0" distB="0" distL="114300" distR="114300" simplePos="0" relativeHeight="251658240" behindDoc="1" locked="0" layoutInCell="1" allowOverlap="1">
          <wp:simplePos x="0" y="0"/>
          <wp:positionH relativeFrom="margin">
            <wp:posOffset>2977515</wp:posOffset>
          </wp:positionH>
          <wp:positionV relativeFrom="margin">
            <wp:posOffset>-852170</wp:posOffset>
          </wp:positionV>
          <wp:extent cx="3429000" cy="809625"/>
          <wp:effectExtent l="19050" t="0" r="0" b="0"/>
          <wp:wrapSquare wrapText="bothSides"/>
          <wp:docPr id="1" name="Imagen 4" descr="unlp_psico_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lp_psico_logo2015"/>
                  <pic:cNvPicPr>
                    <a:picLocks noChangeAspect="1" noChangeArrowheads="1"/>
                  </pic:cNvPicPr>
                </pic:nvPicPr>
                <pic:blipFill>
                  <a:blip r:embed="rId1"/>
                  <a:srcRect/>
                  <a:stretch>
                    <a:fillRect/>
                  </a:stretch>
                </pic:blipFill>
                <pic:spPr bwMode="auto">
                  <a:xfrm>
                    <a:off x="0" y="0"/>
                    <a:ext cx="3429000" cy="809625"/>
                  </a:xfrm>
                  <a:prstGeom prst="rect">
                    <a:avLst/>
                  </a:prstGeom>
                  <a:noFill/>
                  <a:ln w="9525">
                    <a:noFill/>
                    <a:miter lim="800000"/>
                    <a:headEnd/>
                    <a:tailEnd/>
                  </a:ln>
                </pic:spPr>
              </pic:pic>
            </a:graphicData>
          </a:graphic>
        </wp:anchor>
      </w:drawing>
    </w:r>
  </w:p>
  <w:p w:rsidR="000A7B5E" w:rsidRDefault="000A7B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382E7C"/>
    <w:rsid w:val="00053F9A"/>
    <w:rsid w:val="000A7B5E"/>
    <w:rsid w:val="00281B94"/>
    <w:rsid w:val="00382E7C"/>
    <w:rsid w:val="003D4470"/>
    <w:rsid w:val="00416402"/>
    <w:rsid w:val="00496DB3"/>
    <w:rsid w:val="0061222B"/>
    <w:rsid w:val="006A3BE7"/>
    <w:rsid w:val="00842260"/>
    <w:rsid w:val="008C3AE8"/>
    <w:rsid w:val="009615E8"/>
    <w:rsid w:val="00AD6D2F"/>
    <w:rsid w:val="00B50EB8"/>
    <w:rsid w:val="00DF54C0"/>
    <w:rsid w:val="00E537BC"/>
    <w:rsid w:val="00EA36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7BC"/>
    <w:pPr>
      <w:tabs>
        <w:tab w:val="center" w:pos="4252"/>
        <w:tab w:val="right" w:pos="8504"/>
      </w:tabs>
    </w:pPr>
  </w:style>
  <w:style w:type="character" w:customStyle="1" w:styleId="EncabezadoCar">
    <w:name w:val="Encabezado Car"/>
    <w:basedOn w:val="Fuentedeprrafopredeter"/>
    <w:link w:val="Encabezado"/>
    <w:uiPriority w:val="99"/>
    <w:rsid w:val="00E537B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E537BC"/>
    <w:pPr>
      <w:tabs>
        <w:tab w:val="center" w:pos="4252"/>
        <w:tab w:val="right" w:pos="8504"/>
      </w:tabs>
    </w:pPr>
  </w:style>
  <w:style w:type="character" w:customStyle="1" w:styleId="PiedepginaCar">
    <w:name w:val="Pie de página Car"/>
    <w:basedOn w:val="Fuentedeprrafopredeter"/>
    <w:link w:val="Piedepgina"/>
    <w:uiPriority w:val="99"/>
    <w:semiHidden/>
    <w:rsid w:val="00E537B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53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7BC"/>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3292</Words>
  <Characters>18107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Brenda-Compras</dc:creator>
  <cp:lastModifiedBy>Brenda-Compras</cp:lastModifiedBy>
  <cp:revision>2</cp:revision>
  <cp:lastPrinted>2017-09-13T14:20:00Z</cp:lastPrinted>
  <dcterms:created xsi:type="dcterms:W3CDTF">2019-03-01T15:08:00Z</dcterms:created>
  <dcterms:modified xsi:type="dcterms:W3CDTF">2019-03-01T15:08:00Z</dcterms:modified>
</cp:coreProperties>
</file>